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9E" w:rsidRDefault="00EF7BA3">
      <w:pPr>
        <w:rPr>
          <w:rFonts w:ascii="黑体" w:eastAsia="黑体" w:hAnsi="黑体"/>
          <w:sz w:val="28"/>
          <w:szCs w:val="28"/>
        </w:rPr>
      </w:pPr>
      <w:r>
        <w:rPr>
          <w:rFonts w:ascii="黑体" w:eastAsia="黑体" w:hAnsi="黑体"/>
          <w:sz w:val="28"/>
          <w:szCs w:val="28"/>
        </w:rPr>
        <w:t>附件</w:t>
      </w:r>
    </w:p>
    <w:p w:rsidR="00A0289E" w:rsidRDefault="00A0289E">
      <w:pPr>
        <w:rPr>
          <w:rFonts w:asciiTheme="majorEastAsia" w:eastAsiaTheme="majorEastAsia" w:hAnsiTheme="majorEastAsia"/>
          <w:b/>
          <w:sz w:val="44"/>
          <w:szCs w:val="44"/>
        </w:rPr>
      </w:pPr>
    </w:p>
    <w:p w:rsidR="000A749E" w:rsidRDefault="00EF7BA3">
      <w:pPr>
        <w:jc w:val="center"/>
        <w:rPr>
          <w:rFonts w:asciiTheme="majorEastAsia" w:eastAsiaTheme="majorEastAsia" w:hAnsiTheme="majorEastAsia" w:cs="宋体"/>
          <w:b/>
          <w:kern w:val="0"/>
          <w:sz w:val="44"/>
          <w:szCs w:val="44"/>
        </w:rPr>
      </w:pPr>
      <w:r>
        <w:rPr>
          <w:rFonts w:asciiTheme="majorEastAsia" w:eastAsiaTheme="majorEastAsia" w:hAnsiTheme="majorEastAsia" w:hint="eastAsia"/>
          <w:b/>
          <w:sz w:val="44"/>
          <w:szCs w:val="44"/>
        </w:rPr>
        <w:t>202</w:t>
      </w:r>
      <w:r w:rsidR="000A749E">
        <w:rPr>
          <w:rFonts w:asciiTheme="majorEastAsia" w:eastAsiaTheme="majorEastAsia" w:hAnsiTheme="majorEastAsia" w:hint="eastAsia"/>
          <w:b/>
          <w:sz w:val="44"/>
          <w:szCs w:val="44"/>
        </w:rPr>
        <w:t>1</w:t>
      </w:r>
      <w:r>
        <w:rPr>
          <w:rFonts w:asciiTheme="majorEastAsia" w:eastAsiaTheme="majorEastAsia" w:hAnsiTheme="majorEastAsia" w:hint="eastAsia"/>
          <w:b/>
          <w:sz w:val="44"/>
          <w:szCs w:val="44"/>
        </w:rPr>
        <w:t>年省自然科学基金</w:t>
      </w:r>
      <w:r>
        <w:rPr>
          <w:rFonts w:asciiTheme="majorEastAsia" w:eastAsiaTheme="majorEastAsia" w:hAnsiTheme="majorEastAsia" w:cs="宋体" w:hint="eastAsia"/>
          <w:b/>
          <w:kern w:val="0"/>
          <w:sz w:val="44"/>
          <w:szCs w:val="44"/>
        </w:rPr>
        <w:t>区域创新</w:t>
      </w:r>
    </w:p>
    <w:p w:rsidR="00A0289E" w:rsidRDefault="00EF7BA3">
      <w:pPr>
        <w:jc w:val="center"/>
        <w:rPr>
          <w:rFonts w:asciiTheme="majorEastAsia" w:eastAsiaTheme="majorEastAsia" w:hAnsiTheme="majorEastAsia"/>
          <w:b/>
          <w:sz w:val="44"/>
          <w:szCs w:val="44"/>
        </w:rPr>
      </w:pPr>
      <w:r>
        <w:rPr>
          <w:rFonts w:asciiTheme="majorEastAsia" w:eastAsiaTheme="majorEastAsia" w:hAnsiTheme="majorEastAsia" w:cs="宋体" w:hint="eastAsia"/>
          <w:b/>
          <w:kern w:val="0"/>
          <w:sz w:val="44"/>
          <w:szCs w:val="44"/>
        </w:rPr>
        <w:t>联合基金</w:t>
      </w:r>
      <w:r>
        <w:rPr>
          <w:rFonts w:asciiTheme="majorEastAsia" w:eastAsiaTheme="majorEastAsia" w:hAnsiTheme="majorEastAsia" w:hint="eastAsia"/>
          <w:b/>
          <w:sz w:val="44"/>
          <w:szCs w:val="44"/>
        </w:rPr>
        <w:t>计划项目申报指南</w:t>
      </w:r>
    </w:p>
    <w:p w:rsidR="00A0289E" w:rsidRDefault="00A0289E">
      <w:pPr>
        <w:tabs>
          <w:tab w:val="left" w:pos="425"/>
        </w:tabs>
        <w:spacing w:before="60" w:after="60" w:line="312" w:lineRule="auto"/>
        <w:ind w:firstLineChars="200" w:firstLine="643"/>
        <w:rPr>
          <w:rFonts w:ascii="仿宋" w:eastAsia="仿宋" w:hAnsi="仿宋" w:cs="宋体"/>
          <w:b/>
          <w:kern w:val="0"/>
          <w:sz w:val="32"/>
          <w:szCs w:val="32"/>
        </w:rPr>
      </w:pPr>
    </w:p>
    <w:p w:rsidR="00284398" w:rsidRDefault="00284398" w:rsidP="00284398">
      <w:pPr>
        <w:tabs>
          <w:tab w:val="left" w:pos="425"/>
        </w:tabs>
        <w:spacing w:before="60" w:after="60" w:line="312" w:lineRule="auto"/>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（一）新材料领域</w:t>
      </w:r>
      <w:r>
        <w:rPr>
          <w:rFonts w:ascii="仿宋" w:eastAsia="仿宋" w:hAnsi="仿宋" w:cs="宋体"/>
          <w:color w:val="333333"/>
          <w:kern w:val="0"/>
          <w:sz w:val="32"/>
          <w:szCs w:val="32"/>
        </w:rPr>
        <w:t> </w:t>
      </w:r>
    </w:p>
    <w:p w:rsidR="00284398" w:rsidRDefault="00284398" w:rsidP="00284398">
      <w:pPr>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r>
        <w:rPr>
          <w:rFonts w:ascii="仿宋" w:eastAsia="仿宋" w:hAnsi="仿宋" w:cs="宋体"/>
          <w:color w:val="333333"/>
          <w:kern w:val="0"/>
          <w:sz w:val="32"/>
          <w:szCs w:val="32"/>
        </w:rPr>
        <w:t>围绕</w:t>
      </w:r>
      <w:r>
        <w:rPr>
          <w:rFonts w:ascii="仿宋" w:eastAsia="仿宋" w:hAnsi="仿宋" w:cs="宋体" w:hint="eastAsia"/>
          <w:color w:val="333333"/>
          <w:kern w:val="0"/>
          <w:sz w:val="32"/>
          <w:szCs w:val="32"/>
        </w:rPr>
        <w:t>钢铁、铝、镁等</w:t>
      </w:r>
      <w:r>
        <w:rPr>
          <w:rFonts w:ascii="仿宋" w:eastAsia="仿宋" w:hAnsi="仿宋" w:cs="宋体"/>
          <w:color w:val="333333"/>
          <w:kern w:val="0"/>
          <w:sz w:val="32"/>
          <w:szCs w:val="32"/>
        </w:rPr>
        <w:t>金属材料轧制过程</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材料成形过程综合自动化</w:t>
      </w:r>
      <w:r>
        <w:rPr>
          <w:rFonts w:ascii="仿宋" w:eastAsia="仿宋" w:hAnsi="仿宋" w:cs="宋体" w:hint="eastAsia"/>
          <w:color w:val="333333"/>
          <w:kern w:val="0"/>
          <w:sz w:val="32"/>
          <w:szCs w:val="32"/>
        </w:rPr>
        <w:t>等</w:t>
      </w:r>
      <w:r>
        <w:rPr>
          <w:rFonts w:ascii="仿宋" w:eastAsia="仿宋" w:hAnsi="仿宋" w:cs="宋体"/>
          <w:color w:val="333333"/>
          <w:kern w:val="0"/>
          <w:sz w:val="32"/>
          <w:szCs w:val="32"/>
        </w:rPr>
        <w:t>方面</w:t>
      </w:r>
      <w:r>
        <w:rPr>
          <w:rFonts w:ascii="仿宋" w:eastAsia="仿宋" w:hAnsi="仿宋" w:cs="宋体" w:hint="eastAsia"/>
          <w:color w:val="333333"/>
          <w:kern w:val="0"/>
          <w:sz w:val="32"/>
          <w:szCs w:val="32"/>
        </w:rPr>
        <w:t>以及镁质资源</w:t>
      </w:r>
      <w:r>
        <w:rPr>
          <w:rFonts w:ascii="仿宋" w:eastAsia="仿宋" w:hAnsi="仿宋" w:cs="宋体"/>
          <w:color w:val="333333"/>
          <w:kern w:val="0"/>
          <w:sz w:val="32"/>
          <w:szCs w:val="32"/>
        </w:rPr>
        <w:t>方面开展基础和应用基础研究。</w:t>
      </w:r>
      <w:r>
        <w:rPr>
          <w:rFonts w:ascii="仿宋" w:eastAsia="仿宋" w:hAnsi="仿宋" w:cs="宋体" w:hint="eastAsia"/>
          <w:kern w:val="0"/>
          <w:sz w:val="32"/>
          <w:szCs w:val="32"/>
        </w:rPr>
        <w:t>资助方向如下：</w:t>
      </w:r>
      <w:r w:rsidRPr="005B70D6">
        <w:rPr>
          <w:rFonts w:ascii="仿宋" w:eastAsia="仿宋" w:hAnsi="仿宋" w:cs="宋体" w:hint="eastAsia"/>
          <w:kern w:val="0"/>
          <w:sz w:val="32"/>
          <w:szCs w:val="32"/>
        </w:rPr>
        <w:t>1.交通运输行业轻量化合金、金属基复合材料研发及宏观调控技术；2.轻金属异种合金焊接工艺及组织性能调控；3.金属高效连接</w:t>
      </w:r>
      <w:r w:rsidRPr="005B70D6">
        <w:rPr>
          <w:rFonts w:ascii="仿宋" w:eastAsia="仿宋" w:hAnsi="仿宋" w:cs="宋体"/>
          <w:kern w:val="0"/>
          <w:sz w:val="32"/>
          <w:szCs w:val="32"/>
        </w:rPr>
        <w:t>关键</w:t>
      </w:r>
      <w:r w:rsidRPr="005B70D6">
        <w:rPr>
          <w:rFonts w:ascii="仿宋" w:eastAsia="仿宋" w:hAnsi="仿宋" w:cs="宋体" w:hint="eastAsia"/>
          <w:kern w:val="0"/>
          <w:sz w:val="32"/>
          <w:szCs w:val="32"/>
        </w:rPr>
        <w:t>技术及疲劳断裂机理；4.新型光、电、磁功能材料制备及应用基础研究；5.金属轻量化制备及加工控制；6.金属材料先进制备技术与高性能金属材料开发；7.特种钢铁材料及铝合金材料研发。</w:t>
      </w:r>
    </w:p>
    <w:p w:rsidR="00284398" w:rsidRDefault="00284398" w:rsidP="00284398">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（二）化工环保生物领域</w:t>
      </w:r>
    </w:p>
    <w:p w:rsidR="00284398" w:rsidRDefault="00284398" w:rsidP="00284398">
      <w:pPr>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围绕石油化工行业、海洋资源、环保及生物方面开展基础及应用基础研究。资助方向如下</w:t>
      </w:r>
      <w:r w:rsidRPr="00B20C7B">
        <w:rPr>
          <w:rFonts w:ascii="仿宋" w:eastAsia="仿宋" w:hAnsi="仿宋" w:cs="宋体" w:hint="eastAsia"/>
          <w:kern w:val="0"/>
          <w:sz w:val="32"/>
          <w:szCs w:val="32"/>
        </w:rPr>
        <w:t>：1.节能环保型化学助剂研发；2.化工行业新型反应器传质及传热仿真；3.烃裂解结焦规律及新型结焦抑制剂的开发；4.非晶合金及其在环保领域应用的技术研究；5.功能微生物培育及微生物基因工程；</w:t>
      </w:r>
      <w:r>
        <w:rPr>
          <w:rFonts w:ascii="仿宋" w:eastAsia="仿宋" w:hAnsi="仿宋" w:cs="仿宋_GB2312" w:hint="eastAsia"/>
          <w:sz w:val="32"/>
          <w:szCs w:val="32"/>
        </w:rPr>
        <w:t>6.针对不同形态的生物质，不同燃烧条件下三种类型NOx（燃料型、热力型、快速型）生成途径和条件的机理研究；7. 研</w:t>
      </w:r>
      <w:r>
        <w:rPr>
          <w:rFonts w:ascii="仿宋" w:eastAsia="仿宋" w:hAnsi="仿宋" w:cs="仿宋_GB2312" w:hint="eastAsia"/>
          <w:sz w:val="32"/>
          <w:szCs w:val="32"/>
        </w:rPr>
        <w:lastRenderedPageBreak/>
        <w:t>究配风方式、烟气再循环比例对炉内温度及温度梯度的影响和氮氧化物生成的影响规律；8. 形成多级配风控氮技术与工艺；9.中试平台装置应用研究，实现生物质低氮燃烧应用。</w:t>
      </w:r>
    </w:p>
    <w:p w:rsidR="00284398" w:rsidRDefault="00284398" w:rsidP="00284398">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（三）机械电气领域</w:t>
      </w:r>
    </w:p>
    <w:p w:rsidR="00284398" w:rsidRPr="00B20C7B" w:rsidRDefault="00284398" w:rsidP="00284398">
      <w:pPr>
        <w:widowControl/>
        <w:shd w:val="clear" w:color="auto" w:fill="FFFFFF"/>
        <w:spacing w:line="540" w:lineRule="atLeast"/>
        <w:ind w:firstLineChars="200" w:firstLine="640"/>
        <w:rPr>
          <w:rFonts w:ascii="仿宋" w:eastAsia="仿宋" w:hAnsi="仿宋" w:cs="宋体"/>
          <w:kern w:val="0"/>
          <w:sz w:val="32"/>
          <w:szCs w:val="32"/>
        </w:rPr>
      </w:pPr>
      <w:r>
        <w:rPr>
          <w:rFonts w:ascii="仿宋" w:eastAsia="仿宋" w:hAnsi="仿宋" w:cs="宋体" w:hint="eastAsia"/>
          <w:kern w:val="0"/>
          <w:sz w:val="32"/>
          <w:szCs w:val="32"/>
        </w:rPr>
        <w:t>围绕我市重点经济主导行业、特色产业以及社会热点等重大科技创新需求，在先进装备、信息、自动化等领域开展基础和应用基础研究。资助方向如下：</w:t>
      </w:r>
      <w:r w:rsidRPr="00B20C7B">
        <w:rPr>
          <w:rFonts w:ascii="仿宋" w:eastAsia="仿宋" w:hAnsi="仿宋" w:cs="宋体" w:hint="eastAsia"/>
          <w:kern w:val="0"/>
          <w:sz w:val="32"/>
          <w:szCs w:val="32"/>
        </w:rPr>
        <w:t>1.面向装备制造设备的设计、建模、优化的理论研究；2.先进储能技术及设备研发；3.先进热声发电、光电转换关键技术及设备研发；4.智能信息处理技术及软件开发；5.行业互联网+平台建设及相关成套设备自动化、一体化研究。</w:t>
      </w:r>
    </w:p>
    <w:p w:rsidR="00284398" w:rsidRDefault="00284398" w:rsidP="00284398">
      <w:pPr>
        <w:tabs>
          <w:tab w:val="left" w:pos="425"/>
        </w:tabs>
        <w:spacing w:before="60" w:after="60" w:line="312" w:lineRule="auto"/>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（四）农业畜牧业领域</w:t>
      </w:r>
    </w:p>
    <w:p w:rsidR="00284398" w:rsidRDefault="00284398" w:rsidP="00284398">
      <w:pPr>
        <w:tabs>
          <w:tab w:val="left" w:pos="425"/>
        </w:tabs>
        <w:spacing w:before="60" w:after="60" w:line="312" w:lineRule="auto"/>
        <w:ind w:firstLineChars="200" w:firstLine="640"/>
        <w:rPr>
          <w:rFonts w:ascii="仿宋" w:eastAsia="仿宋" w:hAnsi="仿宋" w:cs="宋体"/>
          <w:kern w:val="0"/>
          <w:sz w:val="32"/>
          <w:szCs w:val="32"/>
        </w:rPr>
      </w:pPr>
      <w:r>
        <w:rPr>
          <w:rFonts w:ascii="仿宋" w:eastAsia="仿宋" w:hAnsi="仿宋" w:cs="宋体" w:hint="eastAsia"/>
          <w:color w:val="333333"/>
          <w:kern w:val="0"/>
          <w:sz w:val="32"/>
          <w:szCs w:val="32"/>
        </w:rPr>
        <w:t>围绕农作物新品种选育、</w:t>
      </w:r>
      <w:r w:rsidR="0059608B" w:rsidRPr="0059608B">
        <w:rPr>
          <w:rFonts w:ascii="仿宋" w:eastAsia="仿宋" w:hAnsi="仿宋" w:cs="宋体"/>
          <w:color w:val="333333"/>
          <w:kern w:val="0"/>
          <w:sz w:val="32"/>
          <w:szCs w:val="32"/>
        </w:rPr>
        <w:t>提质</w:t>
      </w:r>
      <w:r>
        <w:rPr>
          <w:rFonts w:ascii="仿宋" w:eastAsia="仿宋" w:hAnsi="仿宋" w:cs="宋体" w:hint="eastAsia"/>
          <w:color w:val="333333"/>
          <w:kern w:val="0"/>
          <w:sz w:val="32"/>
          <w:szCs w:val="32"/>
        </w:rPr>
        <w:t>增效关键技术，</w:t>
      </w:r>
      <w:r>
        <w:rPr>
          <w:rFonts w:ascii="仿宋" w:eastAsia="仿宋" w:hAnsi="仿宋" w:cs="宋体" w:hint="eastAsia"/>
          <w:kern w:val="0"/>
          <w:sz w:val="32"/>
          <w:szCs w:val="32"/>
        </w:rPr>
        <w:t>畜禽品种优化、营养机理、粪污无害化处理等方面开展基础与应用基础研究。</w:t>
      </w:r>
      <w:r>
        <w:rPr>
          <w:rFonts w:ascii="仿宋" w:eastAsia="仿宋" w:hAnsi="仿宋" w:cs="宋体" w:hint="eastAsia"/>
          <w:color w:val="333333"/>
          <w:kern w:val="0"/>
          <w:sz w:val="32"/>
          <w:szCs w:val="32"/>
        </w:rPr>
        <w:t>资助方向如下：1</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辽宁省特色果树软枣猕猴桃、山地大果榛子、辽峰葡萄新品种选育、优质栽培等果树群体调控技术研究；2</w:t>
      </w:r>
      <w:r>
        <w:rPr>
          <w:rFonts w:ascii="仿宋" w:eastAsia="仿宋" w:hAnsi="仿宋" w:cs="宋体"/>
          <w:color w:val="333333"/>
          <w:kern w:val="0"/>
          <w:sz w:val="32"/>
          <w:szCs w:val="32"/>
        </w:rPr>
        <w:t>高粱</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玉米</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大豆新品种选育</w:t>
      </w:r>
      <w:r>
        <w:rPr>
          <w:rFonts w:ascii="仿宋" w:eastAsia="仿宋" w:hAnsi="仿宋" w:cs="宋体" w:hint="eastAsia"/>
          <w:color w:val="333333"/>
          <w:kern w:val="0"/>
          <w:sz w:val="32"/>
          <w:szCs w:val="32"/>
        </w:rPr>
        <w:t>；3</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植物工厂条件下蔬菜环境调控模型开发与无土栽培营养液配方研究；4</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北方果蔬专用水溶肥研发与利用研究；5</w:t>
      </w:r>
      <w:r>
        <w:rPr>
          <w:rFonts w:ascii="仿宋" w:eastAsia="仿宋" w:hAnsi="仿宋" w:cs="宋体" w:hint="eastAsia"/>
          <w:kern w:val="0"/>
          <w:sz w:val="32"/>
          <w:szCs w:val="32"/>
        </w:rPr>
        <w:t>.绒山羊</w:t>
      </w:r>
      <w:r>
        <w:rPr>
          <w:rFonts w:ascii="仿宋" w:eastAsia="仿宋" w:hAnsi="仿宋" w:cs="宋体"/>
          <w:kern w:val="0"/>
          <w:sz w:val="32"/>
          <w:szCs w:val="32"/>
        </w:rPr>
        <w:t>精准营养优化与</w:t>
      </w:r>
      <w:r>
        <w:rPr>
          <w:rFonts w:ascii="仿宋" w:eastAsia="仿宋" w:hAnsi="仿宋" w:cs="宋体" w:hint="eastAsia"/>
          <w:kern w:val="0"/>
          <w:sz w:val="32"/>
          <w:szCs w:val="32"/>
        </w:rPr>
        <w:t>工厂化生产研究；6.东北地区肉蛋兼用鹅的品种选育；7.畜禽粪便无害化处理</w:t>
      </w:r>
      <w:r>
        <w:rPr>
          <w:rFonts w:ascii="仿宋" w:eastAsia="仿宋" w:hAnsi="仿宋" w:cs="宋体"/>
          <w:kern w:val="0"/>
          <w:sz w:val="32"/>
          <w:szCs w:val="32"/>
        </w:rPr>
        <w:t>消解规律及精准施用研究</w:t>
      </w:r>
      <w:r>
        <w:rPr>
          <w:rFonts w:ascii="仿宋" w:eastAsia="仿宋" w:hAnsi="仿宋" w:cs="宋体" w:hint="eastAsia"/>
          <w:kern w:val="0"/>
          <w:sz w:val="32"/>
          <w:szCs w:val="32"/>
        </w:rPr>
        <w:t>。</w:t>
      </w:r>
    </w:p>
    <w:p w:rsidR="00284398" w:rsidRDefault="00284398" w:rsidP="00284398">
      <w:pPr>
        <w:tabs>
          <w:tab w:val="left" w:pos="425"/>
        </w:tabs>
        <w:spacing w:before="60" w:after="60" w:line="312"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（五）农业机械化及设施农业领域</w:t>
      </w:r>
    </w:p>
    <w:p w:rsidR="00284398" w:rsidRDefault="00284398" w:rsidP="00284398">
      <w:pPr>
        <w:tabs>
          <w:tab w:val="left" w:pos="425"/>
        </w:tabs>
        <w:spacing w:before="60" w:after="60" w:line="312" w:lineRule="auto"/>
        <w:ind w:firstLineChars="200" w:firstLine="640"/>
        <w:rPr>
          <w:rFonts w:ascii="仿宋" w:eastAsia="仿宋" w:hAnsi="仿宋" w:cs="宋体"/>
          <w:kern w:val="0"/>
          <w:sz w:val="32"/>
          <w:szCs w:val="32"/>
        </w:rPr>
      </w:pPr>
      <w:r>
        <w:rPr>
          <w:rFonts w:ascii="仿宋" w:eastAsia="仿宋" w:hAnsi="仿宋" w:cs="宋体" w:hint="eastAsia"/>
          <w:color w:val="333333"/>
          <w:kern w:val="0"/>
          <w:sz w:val="32"/>
          <w:szCs w:val="32"/>
        </w:rPr>
        <w:lastRenderedPageBreak/>
        <w:t>围绕农业机械化</w:t>
      </w:r>
      <w:r>
        <w:rPr>
          <w:rFonts w:ascii="仿宋" w:eastAsia="仿宋" w:hAnsi="仿宋" w:cs="宋体"/>
          <w:color w:val="333333"/>
          <w:kern w:val="0"/>
          <w:sz w:val="32"/>
          <w:szCs w:val="32"/>
        </w:rPr>
        <w:t>、智能</w:t>
      </w:r>
      <w:r>
        <w:rPr>
          <w:rFonts w:ascii="仿宋" w:eastAsia="仿宋" w:hAnsi="仿宋" w:cs="宋体" w:hint="eastAsia"/>
          <w:color w:val="333333"/>
          <w:kern w:val="0"/>
          <w:sz w:val="32"/>
          <w:szCs w:val="32"/>
        </w:rPr>
        <w:t>化以及设施农业等方向开展技术研发。</w:t>
      </w:r>
      <w:r>
        <w:rPr>
          <w:rFonts w:ascii="仿宋" w:eastAsia="仿宋" w:hAnsi="仿宋" w:cs="宋体"/>
          <w:color w:val="333333"/>
          <w:kern w:val="0"/>
          <w:sz w:val="32"/>
          <w:szCs w:val="32"/>
        </w:rPr>
        <w:t>资助方向</w:t>
      </w:r>
      <w:r>
        <w:rPr>
          <w:rFonts w:ascii="仿宋" w:eastAsia="仿宋" w:hAnsi="仿宋" w:cs="宋体" w:hint="eastAsia"/>
          <w:color w:val="333333"/>
          <w:kern w:val="0"/>
          <w:sz w:val="32"/>
          <w:szCs w:val="32"/>
        </w:rPr>
        <w:t>如下</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1.</w:t>
      </w:r>
      <w:r>
        <w:rPr>
          <w:rFonts w:ascii="仿宋" w:eastAsia="仿宋" w:hAnsi="仿宋" w:cs="宋体"/>
          <w:color w:val="333333"/>
          <w:kern w:val="0"/>
          <w:sz w:val="32"/>
          <w:szCs w:val="32"/>
        </w:rPr>
        <w:t>谷子收获</w:t>
      </w:r>
      <w:r>
        <w:rPr>
          <w:rFonts w:ascii="仿宋" w:eastAsia="仿宋" w:hAnsi="仿宋" w:cs="宋体" w:hint="eastAsia"/>
          <w:color w:val="333333"/>
          <w:kern w:val="0"/>
          <w:sz w:val="32"/>
          <w:szCs w:val="32"/>
        </w:rPr>
        <w:t>机</w:t>
      </w:r>
      <w:r>
        <w:rPr>
          <w:rFonts w:ascii="仿宋" w:eastAsia="仿宋" w:hAnsi="仿宋" w:cs="宋体"/>
          <w:color w:val="333333"/>
          <w:kern w:val="0"/>
          <w:sz w:val="32"/>
          <w:szCs w:val="32"/>
        </w:rPr>
        <w:t>关键技术攻关和新产品研发</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秸秆离田关键技术及设备研发；</w:t>
      </w:r>
      <w:r>
        <w:rPr>
          <w:rFonts w:ascii="仿宋" w:eastAsia="仿宋" w:hAnsi="仿宋" w:cs="宋体"/>
          <w:kern w:val="0"/>
          <w:sz w:val="32"/>
          <w:szCs w:val="32"/>
        </w:rPr>
        <w:t>3.</w:t>
      </w:r>
      <w:r>
        <w:rPr>
          <w:rFonts w:ascii="仿宋" w:eastAsia="仿宋" w:hAnsi="仿宋" w:cs="宋体" w:hint="eastAsia"/>
          <w:kern w:val="0"/>
          <w:sz w:val="32"/>
          <w:szCs w:val="32"/>
        </w:rPr>
        <w:t>阳光温室智能化控制及</w:t>
      </w:r>
      <w:r>
        <w:rPr>
          <w:rFonts w:ascii="仿宋" w:eastAsia="仿宋" w:hAnsi="仿宋" w:cs="宋体"/>
          <w:kern w:val="0"/>
          <w:sz w:val="32"/>
          <w:szCs w:val="32"/>
        </w:rPr>
        <w:t>节能减排研究</w:t>
      </w:r>
      <w:r>
        <w:rPr>
          <w:rFonts w:ascii="仿宋" w:eastAsia="仿宋" w:hAnsi="仿宋" w:cs="宋体" w:hint="eastAsia"/>
          <w:kern w:val="0"/>
          <w:sz w:val="32"/>
          <w:szCs w:val="32"/>
        </w:rPr>
        <w:t>。</w:t>
      </w:r>
    </w:p>
    <w:p w:rsidR="00284398" w:rsidRDefault="00284398" w:rsidP="00284398">
      <w:pPr>
        <w:tabs>
          <w:tab w:val="left" w:pos="425"/>
        </w:tabs>
        <w:spacing w:before="60" w:after="60" w:line="312" w:lineRule="auto"/>
        <w:ind w:firstLineChars="200" w:firstLine="640"/>
        <w:rPr>
          <w:rFonts w:ascii="仿宋" w:eastAsia="仿宋" w:hAnsi="仿宋" w:cs="仿宋_GB2312"/>
          <w:sz w:val="32"/>
          <w:szCs w:val="32"/>
        </w:rPr>
      </w:pPr>
      <w:r w:rsidRPr="00E72FAA">
        <w:rPr>
          <w:rFonts w:ascii="仿宋" w:eastAsia="仿宋" w:hAnsi="仿宋" w:cs="仿宋_GB2312" w:hint="eastAsia"/>
          <w:bCs/>
          <w:sz w:val="32"/>
          <w:szCs w:val="32"/>
        </w:rPr>
        <w:t>（六）</w:t>
      </w:r>
      <w:r w:rsidRPr="00B20C7B">
        <w:rPr>
          <w:rFonts w:ascii="仿宋" w:eastAsia="仿宋" w:hAnsi="仿宋" w:cs="仿宋_GB2312" w:hint="eastAsia"/>
          <w:bCs/>
          <w:sz w:val="32"/>
          <w:szCs w:val="32"/>
        </w:rPr>
        <w:t>自然灾害防御</w:t>
      </w:r>
      <w:r w:rsidRPr="00B736F6">
        <w:rPr>
          <w:rFonts w:ascii="仿宋" w:eastAsia="仿宋" w:hAnsi="仿宋" w:cs="仿宋_GB2312" w:hint="eastAsia"/>
          <w:sz w:val="32"/>
          <w:szCs w:val="32"/>
        </w:rPr>
        <w:t>领域</w:t>
      </w:r>
    </w:p>
    <w:p w:rsidR="00284398" w:rsidRPr="00B736F6" w:rsidRDefault="00284398" w:rsidP="00284398">
      <w:pPr>
        <w:tabs>
          <w:tab w:val="left" w:pos="425"/>
        </w:tabs>
        <w:spacing w:before="60" w:after="60" w:line="312" w:lineRule="auto"/>
        <w:ind w:firstLineChars="200" w:firstLine="640"/>
        <w:rPr>
          <w:rFonts w:ascii="仿宋" w:eastAsia="仿宋" w:hAnsi="仿宋" w:cs="仿宋_GB2312"/>
          <w:sz w:val="32"/>
          <w:szCs w:val="32"/>
        </w:rPr>
      </w:pPr>
      <w:r>
        <w:rPr>
          <w:rFonts w:ascii="仿宋" w:eastAsia="仿宋" w:hAnsi="仿宋" w:cs="宋体" w:hint="eastAsia"/>
          <w:color w:val="333333"/>
          <w:kern w:val="0"/>
          <w:sz w:val="32"/>
          <w:szCs w:val="32"/>
        </w:rPr>
        <w:t>围绕</w:t>
      </w:r>
      <w:r w:rsidRPr="00B736F6">
        <w:rPr>
          <w:rFonts w:ascii="仿宋" w:eastAsia="仿宋" w:hAnsi="仿宋" w:cs="仿宋_GB2312" w:hint="eastAsia"/>
          <w:sz w:val="32"/>
          <w:szCs w:val="32"/>
        </w:rPr>
        <w:t>全面提高气象灾害防御能力</w:t>
      </w:r>
      <w:r>
        <w:rPr>
          <w:rFonts w:ascii="仿宋" w:eastAsia="仿宋" w:hAnsi="仿宋" w:cs="仿宋_GB2312" w:hint="eastAsia"/>
          <w:sz w:val="32"/>
          <w:szCs w:val="32"/>
        </w:rPr>
        <w:t>，加强</w:t>
      </w:r>
      <w:r w:rsidRPr="00B736F6">
        <w:rPr>
          <w:rFonts w:ascii="仿宋" w:eastAsia="仿宋" w:hAnsi="仿宋" w:cs="仿宋_GB2312" w:hint="eastAsia"/>
          <w:sz w:val="32"/>
          <w:szCs w:val="32"/>
        </w:rPr>
        <w:t>城市灾害性天气监测</w:t>
      </w:r>
      <w:r>
        <w:rPr>
          <w:rFonts w:ascii="仿宋" w:eastAsia="仿宋" w:hAnsi="仿宋" w:cs="仿宋_GB2312" w:hint="eastAsia"/>
          <w:sz w:val="32"/>
          <w:szCs w:val="32"/>
        </w:rPr>
        <w:t>等方面展开研究</w:t>
      </w:r>
      <w:r w:rsidRPr="00B736F6">
        <w:rPr>
          <w:rFonts w:ascii="仿宋" w:eastAsia="仿宋" w:hAnsi="仿宋" w:cs="仿宋_GB2312" w:hint="eastAsia"/>
          <w:sz w:val="32"/>
          <w:szCs w:val="32"/>
        </w:rPr>
        <w:t>。资助方向如下：</w:t>
      </w:r>
      <w:r>
        <w:rPr>
          <w:rFonts w:ascii="仿宋" w:eastAsia="仿宋" w:hAnsi="仿宋" w:cs="仿宋_GB2312" w:hint="eastAsia"/>
          <w:sz w:val="32"/>
          <w:szCs w:val="32"/>
        </w:rPr>
        <w:t>1</w:t>
      </w:r>
      <w:r w:rsidRPr="00B736F6">
        <w:rPr>
          <w:rFonts w:ascii="仿宋" w:eastAsia="仿宋" w:hAnsi="仿宋" w:cs="仿宋_GB2312" w:hint="eastAsia"/>
          <w:sz w:val="32"/>
          <w:szCs w:val="32"/>
        </w:rPr>
        <w:t>.基于雷达产品和辽宁地形特征分析对流触发机制。</w:t>
      </w:r>
    </w:p>
    <w:p w:rsidR="00284398" w:rsidRDefault="00284398" w:rsidP="00284398">
      <w:pPr>
        <w:tabs>
          <w:tab w:val="left" w:pos="425"/>
        </w:tabs>
        <w:spacing w:before="60" w:after="60" w:line="312" w:lineRule="auto"/>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（七）</w:t>
      </w:r>
      <w:r w:rsidRPr="00B20C7B">
        <w:rPr>
          <w:rFonts w:ascii="仿宋" w:eastAsia="仿宋" w:hAnsi="仿宋" w:cs="仿宋_GB2312" w:hint="eastAsia"/>
          <w:bCs/>
          <w:sz w:val="32"/>
          <w:szCs w:val="32"/>
        </w:rPr>
        <w:t>新能源</w:t>
      </w:r>
      <w:r>
        <w:rPr>
          <w:rFonts w:ascii="仿宋" w:eastAsia="仿宋" w:hAnsi="仿宋" w:cs="宋体" w:hint="eastAsia"/>
          <w:color w:val="333333"/>
          <w:kern w:val="0"/>
          <w:sz w:val="32"/>
          <w:szCs w:val="32"/>
        </w:rPr>
        <w:t>领域</w:t>
      </w:r>
    </w:p>
    <w:p w:rsidR="00A0289E" w:rsidRDefault="00284398" w:rsidP="00284398">
      <w:pPr>
        <w:ind w:firstLineChars="200" w:firstLine="640"/>
        <w:rPr>
          <w:rFonts w:ascii="仿宋" w:eastAsia="仿宋" w:hAnsi="仿宋"/>
          <w:sz w:val="32"/>
          <w:szCs w:val="32"/>
        </w:rPr>
      </w:pPr>
      <w:r>
        <w:rPr>
          <w:rFonts w:ascii="仿宋" w:eastAsia="仿宋" w:hAnsi="仿宋" w:cs="仿宋_GB2312" w:hint="eastAsia"/>
          <w:sz w:val="32"/>
          <w:szCs w:val="32"/>
        </w:rPr>
        <w:t>围绕村镇生物质废弃物物高值利用和高品质清洁能源的需求，开展秸秆废弃物生物炼制基础和应用基础研究，为村镇生物质高效能源转化提供新途径。资助方向如下：1.秸秆水热催化炼制醇烃燃料关键技术攻关，研制汽提水解一体式解聚反应技术工艺，实现秸秆全成分转化利用。2.针对秸秆水解后含有羟基、羰基、羧基和醚键等多种含氧官能团特点，研发秸秆解聚液净化技术与处理工艺。</w:t>
      </w:r>
    </w:p>
    <w:sectPr w:rsidR="00A0289E" w:rsidSect="00A0289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2FE" w:rsidRDefault="002C52FE" w:rsidP="00A0289E">
      <w:r>
        <w:separator/>
      </w:r>
    </w:p>
  </w:endnote>
  <w:endnote w:type="continuationSeparator" w:id="1">
    <w:p w:rsidR="002C52FE" w:rsidRDefault="002C52FE" w:rsidP="00A02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9E" w:rsidRDefault="009E11F8">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A0289E" w:rsidRDefault="009E11F8">
                <w:pPr>
                  <w:pStyle w:val="a3"/>
                </w:pPr>
                <w:r>
                  <w:rPr>
                    <w:rFonts w:hint="eastAsia"/>
                  </w:rPr>
                  <w:fldChar w:fldCharType="begin"/>
                </w:r>
                <w:r w:rsidR="00EF7BA3">
                  <w:rPr>
                    <w:rFonts w:hint="eastAsia"/>
                  </w:rPr>
                  <w:instrText xml:space="preserve"> PAGE  \* MERGEFORMAT </w:instrText>
                </w:r>
                <w:r>
                  <w:rPr>
                    <w:rFonts w:hint="eastAsia"/>
                  </w:rPr>
                  <w:fldChar w:fldCharType="separate"/>
                </w:r>
                <w:r w:rsidR="0059608B">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2FE" w:rsidRDefault="002C52FE" w:rsidP="00A0289E">
      <w:r>
        <w:separator/>
      </w:r>
    </w:p>
  </w:footnote>
  <w:footnote w:type="continuationSeparator" w:id="1">
    <w:p w:rsidR="002C52FE" w:rsidRDefault="002C52FE" w:rsidP="00A028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1FAC"/>
    <w:rsid w:val="00000E9A"/>
    <w:rsid w:val="00015CD4"/>
    <w:rsid w:val="000913E4"/>
    <w:rsid w:val="000A749E"/>
    <w:rsid w:val="000E31B1"/>
    <w:rsid w:val="00126987"/>
    <w:rsid w:val="00284398"/>
    <w:rsid w:val="002C52FE"/>
    <w:rsid w:val="002E1FAC"/>
    <w:rsid w:val="00376C55"/>
    <w:rsid w:val="003D30C1"/>
    <w:rsid w:val="0046376D"/>
    <w:rsid w:val="004723E3"/>
    <w:rsid w:val="0059608B"/>
    <w:rsid w:val="005A0489"/>
    <w:rsid w:val="00613036"/>
    <w:rsid w:val="00647AD5"/>
    <w:rsid w:val="006767DB"/>
    <w:rsid w:val="00751E1A"/>
    <w:rsid w:val="008026B6"/>
    <w:rsid w:val="00880EB0"/>
    <w:rsid w:val="008A21F3"/>
    <w:rsid w:val="009E11F8"/>
    <w:rsid w:val="00A0289E"/>
    <w:rsid w:val="00BA68DE"/>
    <w:rsid w:val="00BF792E"/>
    <w:rsid w:val="00C073E1"/>
    <w:rsid w:val="00C36D1C"/>
    <w:rsid w:val="00CE21BC"/>
    <w:rsid w:val="00CF6619"/>
    <w:rsid w:val="00DB1938"/>
    <w:rsid w:val="00E04D85"/>
    <w:rsid w:val="00EF7BA3"/>
    <w:rsid w:val="00F060DA"/>
    <w:rsid w:val="00FD62E2"/>
    <w:rsid w:val="00FF1A23"/>
    <w:rsid w:val="04976FF5"/>
    <w:rsid w:val="0C8F2B1F"/>
    <w:rsid w:val="0D5860C8"/>
    <w:rsid w:val="15A02058"/>
    <w:rsid w:val="2BF50EFA"/>
    <w:rsid w:val="34720F26"/>
    <w:rsid w:val="49A83673"/>
    <w:rsid w:val="4B0B24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0289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028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0289E"/>
    <w:rPr>
      <w:sz w:val="18"/>
      <w:szCs w:val="18"/>
    </w:rPr>
  </w:style>
  <w:style w:type="character" w:customStyle="1" w:styleId="Char">
    <w:name w:val="页脚 Char"/>
    <w:basedOn w:val="a0"/>
    <w:link w:val="a3"/>
    <w:uiPriority w:val="99"/>
    <w:semiHidden/>
    <w:rsid w:val="00A0289E"/>
    <w:rPr>
      <w:sz w:val="18"/>
      <w:szCs w:val="18"/>
    </w:rPr>
  </w:style>
  <w:style w:type="paragraph" w:styleId="a5">
    <w:name w:val="List Paragraph"/>
    <w:basedOn w:val="a"/>
    <w:uiPriority w:val="99"/>
    <w:qFormat/>
    <w:rsid w:val="00A0289E"/>
    <w:pPr>
      <w:ind w:firstLineChars="200" w:firstLine="420"/>
    </w:pPr>
  </w:style>
  <w:style w:type="paragraph" w:styleId="a6">
    <w:name w:val="Date"/>
    <w:basedOn w:val="a"/>
    <w:next w:val="a"/>
    <w:link w:val="Char1"/>
    <w:uiPriority w:val="99"/>
    <w:semiHidden/>
    <w:unhideWhenUsed/>
    <w:rsid w:val="000913E4"/>
    <w:pPr>
      <w:ind w:leftChars="2500" w:left="100"/>
    </w:pPr>
  </w:style>
  <w:style w:type="character" w:customStyle="1" w:styleId="Char1">
    <w:name w:val="日期 Char"/>
    <w:basedOn w:val="a0"/>
    <w:link w:val="a6"/>
    <w:uiPriority w:val="99"/>
    <w:semiHidden/>
    <w:rsid w:val="000913E4"/>
    <w:rPr>
      <w:kern w:val="2"/>
      <w:sz w:val="21"/>
      <w:szCs w:val="22"/>
    </w:rPr>
  </w:style>
  <w:style w:type="paragraph" w:styleId="a7">
    <w:name w:val="Balloon Text"/>
    <w:basedOn w:val="a"/>
    <w:link w:val="Char2"/>
    <w:uiPriority w:val="99"/>
    <w:semiHidden/>
    <w:unhideWhenUsed/>
    <w:rsid w:val="00126987"/>
    <w:rPr>
      <w:sz w:val="18"/>
      <w:szCs w:val="18"/>
    </w:rPr>
  </w:style>
  <w:style w:type="character" w:customStyle="1" w:styleId="Char2">
    <w:name w:val="批注框文本 Char"/>
    <w:basedOn w:val="a0"/>
    <w:link w:val="a7"/>
    <w:uiPriority w:val="99"/>
    <w:semiHidden/>
    <w:rsid w:val="0012698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D26EFF75-902B-4250-A3EB-4FCDFDA2E9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201</Words>
  <Characters>1146</Characters>
  <Application>Microsoft Office Word</Application>
  <DocSecurity>0</DocSecurity>
  <Lines>9</Lines>
  <Paragraphs>2</Paragraphs>
  <ScaleCrop>false</ScaleCrop>
  <Company>微软中国</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朱育江</dc:creator>
  <cp:lastModifiedBy>Lenovo</cp:lastModifiedBy>
  <cp:revision>3</cp:revision>
  <cp:lastPrinted>2020-09-07T01:57:00Z</cp:lastPrinted>
  <dcterms:created xsi:type="dcterms:W3CDTF">2020-09-07T03:27:00Z</dcterms:created>
  <dcterms:modified xsi:type="dcterms:W3CDTF">2021-10-26T07:24:00Z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